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7B" w:rsidRPr="0072527B" w:rsidRDefault="0072527B" w:rsidP="0072527B">
      <w:pPr>
        <w:spacing w:before="100" w:beforeAutospacing="1" w:after="100" w:afterAutospacing="1" w:line="240" w:lineRule="auto"/>
        <w:outlineLvl w:val="0"/>
        <w:rPr>
          <w:b/>
          <w:bCs/>
          <w:color w:val="auto"/>
          <w:kern w:val="36"/>
          <w:sz w:val="48"/>
          <w:szCs w:val="48"/>
        </w:rPr>
      </w:pPr>
      <w:bookmarkStart w:id="0" w:name="_GoBack"/>
      <w:r w:rsidRPr="0072527B">
        <w:rPr>
          <w:b/>
          <w:bCs/>
          <w:color w:val="auto"/>
          <w:kern w:val="36"/>
          <w:sz w:val="48"/>
          <w:szCs w:val="48"/>
        </w:rPr>
        <w:t xml:space="preserve">Guide to </w:t>
      </w:r>
      <w:r w:rsidR="00603CC0">
        <w:rPr>
          <w:b/>
          <w:bCs/>
          <w:color w:val="auto"/>
          <w:kern w:val="36"/>
          <w:sz w:val="48"/>
          <w:szCs w:val="48"/>
        </w:rPr>
        <w:t xml:space="preserve">WMT </w:t>
      </w:r>
      <w:r w:rsidRPr="0072527B">
        <w:rPr>
          <w:b/>
          <w:bCs/>
          <w:color w:val="auto"/>
          <w:kern w:val="36"/>
          <w:sz w:val="48"/>
          <w:szCs w:val="48"/>
        </w:rPr>
        <w:t xml:space="preserve">Intuit Link for </w:t>
      </w:r>
      <w:r w:rsidR="00442880">
        <w:rPr>
          <w:b/>
          <w:bCs/>
          <w:color w:val="auto"/>
          <w:kern w:val="36"/>
          <w:sz w:val="48"/>
          <w:szCs w:val="48"/>
        </w:rPr>
        <w:t>Clients</w:t>
      </w:r>
    </w:p>
    <w:bookmarkEnd w:id="0"/>
    <w:p w:rsidR="0072527B" w:rsidRPr="0072527B" w:rsidRDefault="0072527B" w:rsidP="0072527B">
      <w:p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Intuit Link is a secure web-based portal that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s can use to gather tax data from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clients.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Intuit Link provides the following features to </w:t>
      </w:r>
      <w:r>
        <w:rPr>
          <w:color w:val="auto"/>
          <w:kern w:val="0"/>
          <w:sz w:val="24"/>
          <w:szCs w:val="24"/>
        </w:rPr>
        <w:t>clients</w:t>
      </w:r>
      <w:r w:rsidRPr="0072527B">
        <w:rPr>
          <w:color w:val="auto"/>
          <w:kern w:val="0"/>
          <w:sz w:val="24"/>
          <w:szCs w:val="24"/>
        </w:rPr>
        <w:t>:</w:t>
      </w:r>
    </w:p>
    <w:p w:rsidR="0072527B" w:rsidRPr="0072527B" w:rsidRDefault="0072527B" w:rsidP="0072527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Clarity on what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needs to prepare for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tax returns</w:t>
      </w:r>
    </w:p>
    <w:p w:rsidR="0072527B" w:rsidRPr="0072527B" w:rsidRDefault="0072527B" w:rsidP="0072527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Flexibility to collect &amp; share tax data year-round from any device, including: </w:t>
      </w:r>
    </w:p>
    <w:p w:rsidR="0072527B" w:rsidRPr="0072527B" w:rsidRDefault="0072527B" w:rsidP="0072527B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Document uploads</w:t>
      </w:r>
    </w:p>
    <w:p w:rsidR="0072527B" w:rsidRPr="0072527B" w:rsidRDefault="0072527B" w:rsidP="0072527B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Snapping pictures from a mobile device</w:t>
      </w:r>
    </w:p>
    <w:p w:rsidR="0072527B" w:rsidRPr="0072527B" w:rsidRDefault="0072527B" w:rsidP="0072527B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Download documents from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financial institutions</w:t>
      </w:r>
    </w:p>
    <w:p w:rsidR="0072527B" w:rsidRPr="0072527B" w:rsidRDefault="0072527B" w:rsidP="0072527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Ability to keep track of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progress to help get everything faster to </w:t>
      </w:r>
      <w:r>
        <w:rPr>
          <w:color w:val="auto"/>
          <w:kern w:val="0"/>
          <w:sz w:val="24"/>
          <w:szCs w:val="24"/>
        </w:rPr>
        <w:t>your Tax expert</w:t>
      </w:r>
    </w:p>
    <w:p w:rsidR="0072527B" w:rsidRPr="0072527B" w:rsidRDefault="0072527B" w:rsidP="0072527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Bank level encryption, so you will feel secure knowing that your data is protected.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The taxpayer experience, with Intuit Link, is initiated by an email invitation from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like the one below.</w:t>
      </w:r>
    </w:p>
    <w:p w:rsidR="0072527B" w:rsidRPr="0072527B" w:rsidRDefault="0072527B" w:rsidP="0072527B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To accept the invitation from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, click on the </w:t>
      </w:r>
      <w:r w:rsidRPr="0072527B">
        <w:rPr>
          <w:b/>
          <w:bCs/>
          <w:color w:val="auto"/>
          <w:kern w:val="0"/>
          <w:sz w:val="24"/>
          <w:szCs w:val="24"/>
        </w:rPr>
        <w:t>Get Started</w:t>
      </w:r>
      <w:r w:rsidRPr="0072527B">
        <w:rPr>
          <w:color w:val="auto"/>
          <w:kern w:val="0"/>
          <w:sz w:val="24"/>
          <w:szCs w:val="24"/>
        </w:rPr>
        <w:t xml:space="preserve"> button located within the email.  This will automatically open a new browser window to the taxpayer Intuit Link site.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b/>
          <w:bCs/>
          <w:color w:val="auto"/>
          <w:kern w:val="0"/>
          <w:sz w:val="24"/>
          <w:szCs w:val="24"/>
        </w:rPr>
        <w:t>NOTE: </w:t>
      </w:r>
      <w:r w:rsidRPr="0072527B">
        <w:rPr>
          <w:color w:val="auto"/>
          <w:kern w:val="0"/>
          <w:sz w:val="24"/>
          <w:szCs w:val="24"/>
        </w:rPr>
        <w:t xml:space="preserve"> In an effort to simplify the sign up process for the tax payer, the e-mail address the Link invitation was sent to will be used as the </w:t>
      </w:r>
      <w:r>
        <w:rPr>
          <w:color w:val="auto"/>
          <w:kern w:val="0"/>
          <w:sz w:val="24"/>
          <w:szCs w:val="24"/>
        </w:rPr>
        <w:t>clients</w:t>
      </w:r>
      <w:r w:rsidRPr="0072527B">
        <w:rPr>
          <w:color w:val="auto"/>
          <w:kern w:val="0"/>
          <w:sz w:val="24"/>
          <w:szCs w:val="24"/>
        </w:rPr>
        <w:t xml:space="preserve"> User ID for Intuit Link.  If the tax payer would like to be setup with a different e-mail address, they must contact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before accepting the invitation. </w:t>
      </w:r>
    </w:p>
    <w:p w:rsidR="0072527B" w:rsidRPr="0072527B" w:rsidRDefault="0072527B" w:rsidP="0072527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If the tax payer does not have an Intuit online account, they will be required them to create one. </w:t>
      </w:r>
    </w:p>
    <w:p w:rsidR="0072527B" w:rsidRPr="0072527B" w:rsidRDefault="0072527B" w:rsidP="0072527B">
      <w:pPr>
        <w:numPr>
          <w:ilvl w:val="1"/>
          <w:numId w:val="3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The user ID will automatically be pre-filled with the e-mail address.  Since this is the method that links the tax payer to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>Tax expert</w:t>
      </w:r>
      <w:r w:rsidRPr="0072527B">
        <w:rPr>
          <w:color w:val="auto"/>
          <w:kern w:val="0"/>
          <w:sz w:val="24"/>
          <w:szCs w:val="24"/>
        </w:rPr>
        <w:t xml:space="preserve">, the user ID needs to be the </w:t>
      </w:r>
      <w:r>
        <w:rPr>
          <w:color w:val="auto"/>
          <w:kern w:val="0"/>
          <w:sz w:val="24"/>
          <w:szCs w:val="24"/>
        </w:rPr>
        <w:t>clients</w:t>
      </w:r>
      <w:r w:rsidRPr="0072527B">
        <w:rPr>
          <w:color w:val="auto"/>
          <w:kern w:val="0"/>
          <w:sz w:val="24"/>
          <w:szCs w:val="24"/>
        </w:rPr>
        <w:t xml:space="preserve"> email address.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6F84EDEB" wp14:editId="09A292C8">
            <wp:extent cx="3329940" cy="5303520"/>
            <wp:effectExtent l="0" t="0" r="3810" b="0"/>
            <wp:docPr id="2" name="Picture 2" descr="http://kb.intuit.com/library/INTUIT/APD/Intuit%20Link/HOW24767/HOW24767_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b.intuit.com/library/INTUIT/APD/Intuit%20Link/HOW24767/HOW24767_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If an online account exists, the tax payer is prompted to enter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password.  In this instance, the </w:t>
      </w:r>
      <w:r>
        <w:rPr>
          <w:color w:val="auto"/>
          <w:kern w:val="0"/>
          <w:sz w:val="24"/>
          <w:szCs w:val="24"/>
        </w:rPr>
        <w:t>clients</w:t>
      </w:r>
      <w:r w:rsidRPr="0072527B">
        <w:rPr>
          <w:color w:val="auto"/>
          <w:kern w:val="0"/>
          <w:sz w:val="24"/>
          <w:szCs w:val="24"/>
        </w:rPr>
        <w:t xml:space="preserve"> e-mail address will be also be </w:t>
      </w:r>
      <w:r>
        <w:rPr>
          <w:color w:val="auto"/>
          <w:kern w:val="0"/>
          <w:sz w:val="24"/>
          <w:szCs w:val="24"/>
        </w:rPr>
        <w:t>your</w:t>
      </w:r>
      <w:r w:rsidRPr="0072527B">
        <w:rPr>
          <w:color w:val="auto"/>
          <w:kern w:val="0"/>
          <w:sz w:val="24"/>
          <w:szCs w:val="24"/>
        </w:rPr>
        <w:t xml:space="preserve"> user ID.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59A841F6" wp14:editId="5DA176F2">
            <wp:extent cx="4762500" cy="4693920"/>
            <wp:effectExtent l="0" t="0" r="0" b="0"/>
            <wp:docPr id="3" name="Picture 3" descr="http://kb.intuit.com/library/INTUIT/APD/Intuit%20Link/HOW24767/HOW24767_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b.intuit.com/library/INTUIT/APD/Intuit%20Link/HOW24767/HOW24767_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7B" w:rsidRPr="0072527B" w:rsidRDefault="0072527B" w:rsidP="0072527B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After logging in, you will now be entered into the site and will have a </w:t>
      </w:r>
      <w:r w:rsidRPr="0072527B">
        <w:rPr>
          <w:b/>
          <w:bCs/>
          <w:color w:val="auto"/>
          <w:kern w:val="0"/>
          <w:sz w:val="24"/>
          <w:szCs w:val="24"/>
        </w:rPr>
        <w:t>Welcome</w:t>
      </w:r>
      <w:r w:rsidRPr="0072527B">
        <w:rPr>
          <w:color w:val="auto"/>
          <w:kern w:val="0"/>
          <w:sz w:val="24"/>
          <w:szCs w:val="24"/>
        </w:rPr>
        <w:t xml:space="preserve"> message, inviting you to Intuit Link.</w:t>
      </w:r>
    </w:p>
    <w:p w:rsidR="0072527B" w:rsidRPr="0072527B" w:rsidRDefault="0072527B" w:rsidP="0072527B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Click on the </w:t>
      </w:r>
      <w:r w:rsidRPr="0072527B">
        <w:rPr>
          <w:b/>
          <w:bCs/>
          <w:color w:val="auto"/>
          <w:kern w:val="0"/>
          <w:sz w:val="24"/>
          <w:szCs w:val="24"/>
        </w:rPr>
        <w:t>Let’s Get Started</w:t>
      </w:r>
      <w:r w:rsidRPr="0072527B">
        <w:rPr>
          <w:color w:val="auto"/>
          <w:kern w:val="0"/>
          <w:sz w:val="24"/>
          <w:szCs w:val="24"/>
        </w:rPr>
        <w:t xml:space="preserve"> button.    </w:t>
      </w:r>
    </w:p>
    <w:p w:rsidR="0072527B" w:rsidRPr="0072527B" w:rsidRDefault="0072527B" w:rsidP="0072527B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If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has sent questions or document requests, you can simply click on the </w:t>
      </w:r>
      <w:r w:rsidRPr="0072527B">
        <w:rPr>
          <w:b/>
          <w:bCs/>
          <w:color w:val="auto"/>
          <w:kern w:val="0"/>
          <w:sz w:val="24"/>
          <w:szCs w:val="24"/>
        </w:rPr>
        <w:t>Answer questions</w:t>
      </w:r>
      <w:r w:rsidRPr="0072527B">
        <w:rPr>
          <w:color w:val="auto"/>
          <w:kern w:val="0"/>
          <w:sz w:val="24"/>
          <w:szCs w:val="24"/>
        </w:rPr>
        <w:t xml:space="preserve"> or </w:t>
      </w:r>
      <w:r w:rsidRPr="0072527B">
        <w:rPr>
          <w:b/>
          <w:bCs/>
          <w:color w:val="auto"/>
          <w:kern w:val="0"/>
          <w:sz w:val="24"/>
          <w:szCs w:val="24"/>
        </w:rPr>
        <w:t>Add documents</w:t>
      </w:r>
      <w:r w:rsidRPr="0072527B">
        <w:rPr>
          <w:color w:val="auto"/>
          <w:kern w:val="0"/>
          <w:sz w:val="24"/>
          <w:szCs w:val="24"/>
        </w:rPr>
        <w:t xml:space="preserve"> buttons.  This will load the correlating screen.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26F7624B" wp14:editId="2D31C6F9">
            <wp:extent cx="6195060" cy="3840480"/>
            <wp:effectExtent l="0" t="0" r="0" b="7620"/>
            <wp:docPr id="4" name="Picture 4" descr="http://kb.intuit.com/library/INTUIT/APD/Intuit%20Link/HOW24767/HOW24767_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b.intuit.com/library/INTUIT/APD/Intuit%20Link/HOW24767/HOW24767_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7B">
        <w:rPr>
          <w:color w:val="auto"/>
          <w:kern w:val="0"/>
          <w:sz w:val="24"/>
          <w:szCs w:val="24"/>
        </w:rPr>
        <w:br/>
        <w:t>    </w:t>
      </w:r>
    </w:p>
    <w:p w:rsidR="0072527B" w:rsidRPr="0072527B" w:rsidRDefault="0072527B" w:rsidP="0072527B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For yes or no Questions, there are Yes, No, or Not Sure buttons, next to the question.  There is also an option to add a comment and add a file located on the right side.</w:t>
      </w:r>
    </w:p>
    <w:p w:rsidR="0072527B" w:rsidRPr="0072527B" w:rsidRDefault="0072527B" w:rsidP="0072527B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For open-ended Questions, you will see a list of questions with a dialog box to the left.  To answer questions, simply write the answers in the dialog box. Open-ended questions also have an option to add a file.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lastRenderedPageBreak/>
        <w:t xml:space="preserve">    </w:t>
      </w:r>
      <w:r w:rsidRPr="0072527B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B82AE9C" wp14:editId="52F00354">
            <wp:extent cx="7139940" cy="3970020"/>
            <wp:effectExtent l="0" t="0" r="3810" b="0"/>
            <wp:docPr id="5" name="Picture 5" descr="http://kb.intuit.com/library/INTUIT/APD/Intuit%20Link/HOW24767/HOW24767_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b.intuit.com/library/INTUIT/APD/Intuit%20Link/HOW24767/HOW24767_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7B" w:rsidRPr="0072527B" w:rsidRDefault="0072527B" w:rsidP="0072527B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Once a question is answered a green check mark will appear in the column on the left.</w:t>
      </w:r>
    </w:p>
    <w:p w:rsidR="0072527B" w:rsidRPr="0072527B" w:rsidRDefault="0072527B" w:rsidP="0072527B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For Add documents or Upload, the taxpayer will see a list of requested documents, with an Upload Document button located in the center, next to each request.</w:t>
      </w:r>
    </w:p>
    <w:p w:rsidR="0072527B" w:rsidRPr="0072527B" w:rsidRDefault="0072527B" w:rsidP="0072527B">
      <w:pPr>
        <w:spacing w:before="100" w:beforeAutospacing="1" w:after="100" w:afterAutospacing="1" w:line="240" w:lineRule="auto"/>
        <w:ind w:left="600"/>
        <w:rPr>
          <w:color w:val="auto"/>
          <w:kern w:val="0"/>
          <w:sz w:val="24"/>
          <w:szCs w:val="24"/>
        </w:rPr>
      </w:pPr>
      <w:r w:rsidRPr="0072527B"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5F718EEE" wp14:editId="2C1D8257">
            <wp:extent cx="6667500" cy="3931920"/>
            <wp:effectExtent l="0" t="0" r="0" b="0"/>
            <wp:docPr id="6" name="Picture 6" descr="http://kb.intuit.com/library/INTUIT/APD/Intuit%20Link/12-2-2014%204-41-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b.intuit.com/library/INTUIT/APD/Intuit%20Link/12-2-2014%204-41-56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7B" w:rsidRPr="0072527B" w:rsidRDefault="0072527B" w:rsidP="0072527B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To upload a document, save the document in an easy to find location on your computer. 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Click on </w:t>
      </w:r>
      <w:r w:rsidRPr="0072527B">
        <w:rPr>
          <w:b/>
          <w:bCs/>
          <w:color w:val="auto"/>
          <w:kern w:val="0"/>
          <w:sz w:val="24"/>
          <w:szCs w:val="24"/>
        </w:rPr>
        <w:t>Upload Document</w:t>
      </w:r>
      <w:r w:rsidRPr="0072527B">
        <w:rPr>
          <w:color w:val="auto"/>
          <w:kern w:val="0"/>
          <w:sz w:val="24"/>
          <w:szCs w:val="24"/>
        </w:rPr>
        <w:t>.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Navigate to the location where the file is saved.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Select the file.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Click </w:t>
      </w:r>
      <w:r w:rsidRPr="0072527B">
        <w:rPr>
          <w:b/>
          <w:bCs/>
          <w:color w:val="auto"/>
          <w:kern w:val="0"/>
          <w:sz w:val="24"/>
          <w:szCs w:val="24"/>
        </w:rPr>
        <w:t>Open</w:t>
      </w:r>
      <w:r w:rsidRPr="0072527B">
        <w:rPr>
          <w:color w:val="auto"/>
          <w:kern w:val="0"/>
          <w:sz w:val="24"/>
          <w:szCs w:val="24"/>
        </w:rPr>
        <w:t>.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If the wrong document is opened, it can be deleted by clicking on the trash can icon located to the right of the document name, and a new document can be uploaded by following the previous steps.</w:t>
      </w:r>
    </w:p>
    <w:p w:rsidR="0072527B" w:rsidRPr="0072527B" w:rsidRDefault="0072527B" w:rsidP="0072527B">
      <w:pPr>
        <w:numPr>
          <w:ilvl w:val="1"/>
          <w:numId w:val="7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>Once a document is successfully loaded, a green checkmark will appear in the column on the left.</w:t>
      </w:r>
    </w:p>
    <w:p w:rsidR="0072527B" w:rsidRPr="0072527B" w:rsidRDefault="0072527B" w:rsidP="0072527B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If you have questions, click on the Contact Me button on the top left.  This will open an email directed to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>’s email on file with Intuit Link.</w:t>
      </w:r>
    </w:p>
    <w:p w:rsidR="0072527B" w:rsidRPr="0072527B" w:rsidRDefault="0072527B" w:rsidP="0072527B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auto"/>
          <w:kern w:val="0"/>
          <w:sz w:val="24"/>
          <w:szCs w:val="24"/>
        </w:rPr>
      </w:pPr>
      <w:r w:rsidRPr="0072527B">
        <w:rPr>
          <w:color w:val="auto"/>
          <w:kern w:val="0"/>
          <w:sz w:val="24"/>
          <w:szCs w:val="24"/>
        </w:rPr>
        <w:t xml:space="preserve">Once Questions are answered and Documents are uploaded,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will be notified of the changes, and the taxpayer is finished.  Any new requests from </w:t>
      </w:r>
      <w:r>
        <w:rPr>
          <w:color w:val="auto"/>
          <w:kern w:val="0"/>
          <w:sz w:val="24"/>
          <w:szCs w:val="24"/>
        </w:rPr>
        <w:t>your Tax expert</w:t>
      </w:r>
      <w:r w:rsidRPr="0072527B">
        <w:rPr>
          <w:color w:val="auto"/>
          <w:kern w:val="0"/>
          <w:sz w:val="24"/>
          <w:szCs w:val="24"/>
        </w:rPr>
        <w:t xml:space="preserve"> will trigger an email notification to you.</w:t>
      </w:r>
    </w:p>
    <w:p w:rsidR="00AF428C" w:rsidRDefault="00AF428C"/>
    <w:sectPr w:rsidR="00AF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379"/>
    <w:multiLevelType w:val="multilevel"/>
    <w:tmpl w:val="89D4E9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477FD"/>
    <w:multiLevelType w:val="multilevel"/>
    <w:tmpl w:val="F72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337B5"/>
    <w:multiLevelType w:val="multilevel"/>
    <w:tmpl w:val="B57E3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7601B"/>
    <w:multiLevelType w:val="multilevel"/>
    <w:tmpl w:val="5D3A1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95A9B"/>
    <w:multiLevelType w:val="multilevel"/>
    <w:tmpl w:val="7C92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C0479"/>
    <w:multiLevelType w:val="multilevel"/>
    <w:tmpl w:val="7CA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67071"/>
    <w:multiLevelType w:val="multilevel"/>
    <w:tmpl w:val="D8585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E3616"/>
    <w:multiLevelType w:val="multilevel"/>
    <w:tmpl w:val="756E9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B"/>
    <w:rsid w:val="0000536B"/>
    <w:rsid w:val="00005385"/>
    <w:rsid w:val="00005B99"/>
    <w:rsid w:val="00050958"/>
    <w:rsid w:val="00050C43"/>
    <w:rsid w:val="00091537"/>
    <w:rsid w:val="000A00EC"/>
    <w:rsid w:val="000A1752"/>
    <w:rsid w:val="000B70A2"/>
    <w:rsid w:val="000C6BD2"/>
    <w:rsid w:val="000C7CD6"/>
    <w:rsid w:val="0010680D"/>
    <w:rsid w:val="0011445A"/>
    <w:rsid w:val="00116923"/>
    <w:rsid w:val="00127B7B"/>
    <w:rsid w:val="001316DF"/>
    <w:rsid w:val="0014214D"/>
    <w:rsid w:val="0014773D"/>
    <w:rsid w:val="001501D6"/>
    <w:rsid w:val="0017446E"/>
    <w:rsid w:val="00194401"/>
    <w:rsid w:val="00195B7D"/>
    <w:rsid w:val="001A6DC2"/>
    <w:rsid w:val="001B096C"/>
    <w:rsid w:val="001B2172"/>
    <w:rsid w:val="001B6451"/>
    <w:rsid w:val="001C1837"/>
    <w:rsid w:val="001C2885"/>
    <w:rsid w:val="001D6129"/>
    <w:rsid w:val="001E4597"/>
    <w:rsid w:val="001F41F4"/>
    <w:rsid w:val="00212589"/>
    <w:rsid w:val="0021426A"/>
    <w:rsid w:val="00225A59"/>
    <w:rsid w:val="00225D62"/>
    <w:rsid w:val="002277E8"/>
    <w:rsid w:val="00234D3F"/>
    <w:rsid w:val="00236322"/>
    <w:rsid w:val="0023676A"/>
    <w:rsid w:val="002400CF"/>
    <w:rsid w:val="00247F7F"/>
    <w:rsid w:val="00264496"/>
    <w:rsid w:val="00277981"/>
    <w:rsid w:val="0028428C"/>
    <w:rsid w:val="002B470A"/>
    <w:rsid w:val="002B7E35"/>
    <w:rsid w:val="002C033D"/>
    <w:rsid w:val="002D1D54"/>
    <w:rsid w:val="002D258B"/>
    <w:rsid w:val="002E7C3A"/>
    <w:rsid w:val="00302280"/>
    <w:rsid w:val="00315C72"/>
    <w:rsid w:val="00346F7D"/>
    <w:rsid w:val="003518F0"/>
    <w:rsid w:val="0037023B"/>
    <w:rsid w:val="0038437E"/>
    <w:rsid w:val="00391B38"/>
    <w:rsid w:val="003934DF"/>
    <w:rsid w:val="00395F9A"/>
    <w:rsid w:val="003A0243"/>
    <w:rsid w:val="003A729E"/>
    <w:rsid w:val="003B620C"/>
    <w:rsid w:val="003D4A7D"/>
    <w:rsid w:val="003F0487"/>
    <w:rsid w:val="003F3586"/>
    <w:rsid w:val="004031F7"/>
    <w:rsid w:val="00442880"/>
    <w:rsid w:val="00443984"/>
    <w:rsid w:val="0046235D"/>
    <w:rsid w:val="0047571B"/>
    <w:rsid w:val="00493CD6"/>
    <w:rsid w:val="004D3FD0"/>
    <w:rsid w:val="004D61B1"/>
    <w:rsid w:val="00501FC3"/>
    <w:rsid w:val="00510493"/>
    <w:rsid w:val="0052701D"/>
    <w:rsid w:val="00531747"/>
    <w:rsid w:val="005433C7"/>
    <w:rsid w:val="0054778D"/>
    <w:rsid w:val="005500C3"/>
    <w:rsid w:val="00584227"/>
    <w:rsid w:val="005A2270"/>
    <w:rsid w:val="005B100D"/>
    <w:rsid w:val="005B1C7F"/>
    <w:rsid w:val="005E575E"/>
    <w:rsid w:val="005F6F52"/>
    <w:rsid w:val="00603CC0"/>
    <w:rsid w:val="00642DC8"/>
    <w:rsid w:val="006577D4"/>
    <w:rsid w:val="00681036"/>
    <w:rsid w:val="006C03F8"/>
    <w:rsid w:val="006C54A5"/>
    <w:rsid w:val="006F01B4"/>
    <w:rsid w:val="006F440B"/>
    <w:rsid w:val="0072527B"/>
    <w:rsid w:val="00752D8A"/>
    <w:rsid w:val="0078249C"/>
    <w:rsid w:val="007B5C63"/>
    <w:rsid w:val="007D3FBC"/>
    <w:rsid w:val="007D74BE"/>
    <w:rsid w:val="00806700"/>
    <w:rsid w:val="00813941"/>
    <w:rsid w:val="00822A57"/>
    <w:rsid w:val="00823C72"/>
    <w:rsid w:val="0085281A"/>
    <w:rsid w:val="0087230E"/>
    <w:rsid w:val="0087559A"/>
    <w:rsid w:val="00885CB4"/>
    <w:rsid w:val="00887329"/>
    <w:rsid w:val="008915A6"/>
    <w:rsid w:val="008A353A"/>
    <w:rsid w:val="008A3AC6"/>
    <w:rsid w:val="008B517C"/>
    <w:rsid w:val="008C7896"/>
    <w:rsid w:val="008E0AE5"/>
    <w:rsid w:val="009035B5"/>
    <w:rsid w:val="00915FD0"/>
    <w:rsid w:val="009254D9"/>
    <w:rsid w:val="009476B2"/>
    <w:rsid w:val="00952867"/>
    <w:rsid w:val="009C52AC"/>
    <w:rsid w:val="009D07C9"/>
    <w:rsid w:val="00A1265C"/>
    <w:rsid w:val="00A24CCB"/>
    <w:rsid w:val="00A30AC4"/>
    <w:rsid w:val="00A438C5"/>
    <w:rsid w:val="00A53C40"/>
    <w:rsid w:val="00A55EF5"/>
    <w:rsid w:val="00A66E86"/>
    <w:rsid w:val="00A7083B"/>
    <w:rsid w:val="00A854B4"/>
    <w:rsid w:val="00A913AB"/>
    <w:rsid w:val="00AD1590"/>
    <w:rsid w:val="00AE58C1"/>
    <w:rsid w:val="00AE6FCB"/>
    <w:rsid w:val="00AF2279"/>
    <w:rsid w:val="00AF2F85"/>
    <w:rsid w:val="00AF428C"/>
    <w:rsid w:val="00B30823"/>
    <w:rsid w:val="00B32C1F"/>
    <w:rsid w:val="00B61FEE"/>
    <w:rsid w:val="00B63045"/>
    <w:rsid w:val="00B716FA"/>
    <w:rsid w:val="00B810F5"/>
    <w:rsid w:val="00BA7967"/>
    <w:rsid w:val="00BC4F98"/>
    <w:rsid w:val="00BD151A"/>
    <w:rsid w:val="00BD3F35"/>
    <w:rsid w:val="00BF0C1C"/>
    <w:rsid w:val="00BF23B4"/>
    <w:rsid w:val="00C0675D"/>
    <w:rsid w:val="00C10E3D"/>
    <w:rsid w:val="00C33849"/>
    <w:rsid w:val="00C344DC"/>
    <w:rsid w:val="00C34C73"/>
    <w:rsid w:val="00C56F0D"/>
    <w:rsid w:val="00C66D19"/>
    <w:rsid w:val="00C73FBC"/>
    <w:rsid w:val="00C810EB"/>
    <w:rsid w:val="00C832E5"/>
    <w:rsid w:val="00C835BB"/>
    <w:rsid w:val="00CA10C2"/>
    <w:rsid w:val="00CA20B9"/>
    <w:rsid w:val="00CA2588"/>
    <w:rsid w:val="00CA7410"/>
    <w:rsid w:val="00CB33F9"/>
    <w:rsid w:val="00CB42CB"/>
    <w:rsid w:val="00CE01C2"/>
    <w:rsid w:val="00CE6CC1"/>
    <w:rsid w:val="00D25D32"/>
    <w:rsid w:val="00D34CC9"/>
    <w:rsid w:val="00D4653A"/>
    <w:rsid w:val="00D476F1"/>
    <w:rsid w:val="00D50703"/>
    <w:rsid w:val="00D65126"/>
    <w:rsid w:val="00D65781"/>
    <w:rsid w:val="00D67CF9"/>
    <w:rsid w:val="00D80F73"/>
    <w:rsid w:val="00D83EC6"/>
    <w:rsid w:val="00D92C1A"/>
    <w:rsid w:val="00D94A68"/>
    <w:rsid w:val="00DB2576"/>
    <w:rsid w:val="00DB7A60"/>
    <w:rsid w:val="00DC3212"/>
    <w:rsid w:val="00DC3F02"/>
    <w:rsid w:val="00DE7551"/>
    <w:rsid w:val="00E03E22"/>
    <w:rsid w:val="00E35FE6"/>
    <w:rsid w:val="00E7120F"/>
    <w:rsid w:val="00E910D8"/>
    <w:rsid w:val="00E97384"/>
    <w:rsid w:val="00EA0EA6"/>
    <w:rsid w:val="00EC0250"/>
    <w:rsid w:val="00EC0A5D"/>
    <w:rsid w:val="00EC2F1A"/>
    <w:rsid w:val="00EC3F44"/>
    <w:rsid w:val="00EC40A2"/>
    <w:rsid w:val="00EF67D5"/>
    <w:rsid w:val="00F02C62"/>
    <w:rsid w:val="00F117B5"/>
    <w:rsid w:val="00F42F99"/>
    <w:rsid w:val="00F45728"/>
    <w:rsid w:val="00F50095"/>
    <w:rsid w:val="00F55007"/>
    <w:rsid w:val="00F750D5"/>
    <w:rsid w:val="00F7637F"/>
    <w:rsid w:val="00F76A75"/>
    <w:rsid w:val="00F7703F"/>
    <w:rsid w:val="00FB5E80"/>
    <w:rsid w:val="00FD540A"/>
    <w:rsid w:val="00FF1967"/>
    <w:rsid w:val="00FF2D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5EA31-174F-4B19-8184-9F6922C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76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DB257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2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5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576"/>
    <w:rPr>
      <w:rFonts w:ascii="Arial" w:hAnsi="Arial" w:cs="Arial"/>
      <w:b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2576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B2576"/>
    <w:rPr>
      <w:rFonts w:ascii="Arial" w:hAnsi="Arial" w:cs="Arial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576"/>
    <w:rPr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Rajiv Goyal</dc:creator>
  <cp:keywords/>
  <dc:description/>
  <cp:lastModifiedBy>Sangeeta Rajiv Goyal</cp:lastModifiedBy>
  <cp:revision>3</cp:revision>
  <dcterms:created xsi:type="dcterms:W3CDTF">2016-01-10T06:30:00Z</dcterms:created>
  <dcterms:modified xsi:type="dcterms:W3CDTF">2016-01-10T06:57:00Z</dcterms:modified>
</cp:coreProperties>
</file>